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C8AFA" w14:textId="5B14DC13" w:rsidR="004C0702" w:rsidRPr="00521B3F" w:rsidRDefault="004C0702">
      <w:pPr>
        <w:pStyle w:val="berschrift1"/>
        <w:spacing w:before="0" w:after="0"/>
        <w:rPr>
          <w:rFonts w:cs="Arial"/>
          <w:sz w:val="20"/>
        </w:rPr>
      </w:pPr>
      <w:r w:rsidRPr="00521B3F">
        <w:rPr>
          <w:rFonts w:cs="Arial"/>
          <w:sz w:val="20"/>
        </w:rPr>
        <w:t>Indikator 3.13</w:t>
      </w:r>
      <w:r w:rsidR="00B85F70" w:rsidRPr="00521B3F">
        <w:rPr>
          <w:rFonts w:cs="Arial"/>
          <w:sz w:val="20"/>
        </w:rPr>
        <w:t>A</w:t>
      </w:r>
      <w:r w:rsidR="00450B7F">
        <w:rPr>
          <w:rFonts w:cs="Arial"/>
          <w:sz w:val="20"/>
        </w:rPr>
        <w:t>/B</w:t>
      </w:r>
      <w:r w:rsidRPr="00521B3F">
        <w:rPr>
          <w:rFonts w:cs="Arial"/>
          <w:sz w:val="20"/>
        </w:rPr>
        <w:t xml:space="preserve">(L) </w:t>
      </w:r>
    </w:p>
    <w:p w14:paraId="20DC658D" w14:textId="4B81DBC9" w:rsidR="004C0702" w:rsidRPr="00521B3F" w:rsidRDefault="004C0702">
      <w:pPr>
        <w:pStyle w:val="Textkrper"/>
        <w:rPr>
          <w:rFonts w:ascii="Arial" w:hAnsi="Arial" w:cs="Arial"/>
          <w:b w:val="0"/>
        </w:rPr>
      </w:pPr>
      <w:r w:rsidRPr="00521B3F">
        <w:rPr>
          <w:rFonts w:ascii="Arial" w:hAnsi="Arial" w:cs="Arial"/>
        </w:rPr>
        <w:t>Vermeidbare Sterbefälle nach Geschlecht</w:t>
      </w:r>
      <w:r w:rsidR="00B85F70" w:rsidRPr="00521B3F">
        <w:rPr>
          <w:rFonts w:ascii="Arial" w:hAnsi="Arial" w:cs="Arial"/>
        </w:rPr>
        <w:t xml:space="preserve"> und Alter</w:t>
      </w:r>
      <w:r w:rsidRPr="00521B3F">
        <w:rPr>
          <w:rFonts w:ascii="Arial" w:hAnsi="Arial" w:cs="Arial"/>
        </w:rPr>
        <w:t>, Land, Jahr</w:t>
      </w:r>
      <w:r w:rsidR="000377A6" w:rsidRPr="00521B3F">
        <w:rPr>
          <w:rFonts w:ascii="Arial" w:hAnsi="Arial" w:cs="Arial"/>
        </w:rPr>
        <w:t xml:space="preserve"> - Neufassung (2022)</w:t>
      </w:r>
    </w:p>
    <w:p w14:paraId="423085B3" w14:textId="77777777" w:rsidR="004C0702" w:rsidRPr="00521B3F" w:rsidRDefault="004C0702">
      <w:pPr>
        <w:jc w:val="both"/>
        <w:rPr>
          <w:rFonts w:ascii="Arial" w:hAnsi="Arial" w:cs="Arial"/>
        </w:rPr>
      </w:pPr>
    </w:p>
    <w:p w14:paraId="5A85F5B3" w14:textId="77777777" w:rsidR="004C0702" w:rsidRPr="00521B3F" w:rsidRDefault="004C0702">
      <w:pPr>
        <w:jc w:val="both"/>
        <w:rPr>
          <w:rFonts w:ascii="Arial" w:hAnsi="Arial" w:cs="Arial"/>
          <w:b/>
        </w:rPr>
      </w:pPr>
      <w:r w:rsidRPr="00521B3F">
        <w:rPr>
          <w:rFonts w:ascii="Arial" w:hAnsi="Arial" w:cs="Arial"/>
          <w:b/>
        </w:rPr>
        <w:t>Definition</w:t>
      </w:r>
    </w:p>
    <w:p w14:paraId="602FAD6A" w14:textId="7ECBAE94" w:rsidR="00C248ED" w:rsidRPr="00642CA0" w:rsidRDefault="004C0702" w:rsidP="00C248ED">
      <w:pPr>
        <w:autoSpaceDE w:val="0"/>
        <w:autoSpaceDN w:val="0"/>
        <w:adjustRightInd w:val="0"/>
        <w:rPr>
          <w:rFonts w:ascii="Arial" w:hAnsi="Arial" w:cs="Arial"/>
        </w:rPr>
      </w:pPr>
      <w:r w:rsidRPr="00642CA0">
        <w:rPr>
          <w:rFonts w:ascii="Arial" w:hAnsi="Arial" w:cs="Arial"/>
        </w:rPr>
        <w:t xml:space="preserve">Der Indikator </w:t>
      </w:r>
      <w:r w:rsidRPr="00642CA0">
        <w:rPr>
          <w:rFonts w:ascii="Arial" w:hAnsi="Arial" w:cs="Arial"/>
          <w:i/>
        </w:rPr>
        <w:t>Vermeidbare Sterbefälle</w:t>
      </w:r>
      <w:r w:rsidRPr="00642CA0">
        <w:rPr>
          <w:rFonts w:ascii="Arial" w:hAnsi="Arial" w:cs="Arial"/>
        </w:rPr>
        <w:t xml:space="preserve"> </w:t>
      </w:r>
      <w:r w:rsidR="00B85F70" w:rsidRPr="00642CA0">
        <w:rPr>
          <w:rFonts w:ascii="Arial" w:hAnsi="Arial" w:cs="Arial"/>
        </w:rPr>
        <w:t>ist ein Maß für die Qualität des Gesundheitssystems mit Blick darauf, in welchem Umfang Sterbefälle auftreten, die bei angemessener Prävention bzw. Therapie in einer</w:t>
      </w:r>
      <w:r w:rsidR="006D08E8" w:rsidRPr="00642CA0">
        <w:rPr>
          <w:rFonts w:ascii="Arial" w:hAnsi="Arial" w:cs="Arial"/>
        </w:rPr>
        <w:t xml:space="preserve"> </w:t>
      </w:r>
      <w:r w:rsidR="00B85F70" w:rsidRPr="00642CA0">
        <w:rPr>
          <w:rFonts w:ascii="Arial" w:hAnsi="Arial" w:cs="Arial"/>
        </w:rPr>
        <w:t xml:space="preserve">bestimmten Altersgruppe grundsätzlich hätten verhindert werden können. Zugrunde gelegt wird dabei eine Auswahl von Todesursachen, die als sensibel für Effekte der Prävention und </w:t>
      </w:r>
      <w:r w:rsidR="00521B3F" w:rsidRPr="00642CA0">
        <w:rPr>
          <w:rFonts w:ascii="Arial" w:hAnsi="Arial" w:cs="Arial"/>
        </w:rPr>
        <w:t>Gesundheitsv</w:t>
      </w:r>
      <w:r w:rsidR="00B85F70" w:rsidRPr="00642CA0">
        <w:rPr>
          <w:rFonts w:ascii="Arial" w:hAnsi="Arial" w:cs="Arial"/>
        </w:rPr>
        <w:t xml:space="preserve">ersorgung gelten. </w:t>
      </w:r>
      <w:r w:rsidR="00A74588" w:rsidRPr="00642CA0">
        <w:rPr>
          <w:rFonts w:ascii="Arial" w:hAnsi="Arial" w:cs="Arial"/>
        </w:rPr>
        <w:t xml:space="preserve">Hierzu </w:t>
      </w:r>
      <w:r w:rsidR="006D08E8" w:rsidRPr="00642CA0">
        <w:rPr>
          <w:rFonts w:ascii="Arial" w:hAnsi="Arial" w:cs="Arial"/>
        </w:rPr>
        <w:t>wird die OECD-</w:t>
      </w:r>
      <w:proofErr w:type="spellStart"/>
      <w:r w:rsidR="006D08E8" w:rsidRPr="00642CA0">
        <w:rPr>
          <w:rFonts w:ascii="Arial" w:hAnsi="Arial" w:cs="Arial"/>
        </w:rPr>
        <w:t>Eurostat</w:t>
      </w:r>
      <w:proofErr w:type="spellEnd"/>
      <w:r w:rsidR="006D08E8" w:rsidRPr="00642CA0">
        <w:rPr>
          <w:rFonts w:ascii="Arial" w:hAnsi="Arial" w:cs="Arial"/>
        </w:rPr>
        <w:t>-Liste</w:t>
      </w:r>
      <w:r w:rsidR="00C248ED" w:rsidRPr="00642CA0">
        <w:rPr>
          <w:rFonts w:ascii="Arial" w:hAnsi="Arial" w:cs="Arial"/>
        </w:rPr>
        <w:t xml:space="preserve"> zu vermeidbaren </w:t>
      </w:r>
      <w:r w:rsidR="002E5E53" w:rsidRPr="00642CA0">
        <w:rPr>
          <w:rFonts w:ascii="Arial" w:hAnsi="Arial" w:cs="Arial"/>
        </w:rPr>
        <w:t xml:space="preserve">Todesursachen </w:t>
      </w:r>
      <w:r w:rsidR="00A74588" w:rsidRPr="00642CA0">
        <w:rPr>
          <w:rFonts w:ascii="Arial" w:hAnsi="Arial" w:cs="Arial"/>
        </w:rPr>
        <w:t>verwendet</w:t>
      </w:r>
      <w:r w:rsidR="00C248ED" w:rsidRPr="00642CA0">
        <w:rPr>
          <w:rFonts w:ascii="Arial" w:hAnsi="Arial" w:cs="Arial"/>
        </w:rPr>
        <w:t>,</w:t>
      </w:r>
      <w:r w:rsidR="006D08E8" w:rsidRPr="00642CA0">
        <w:rPr>
          <w:rFonts w:ascii="Arial" w:hAnsi="Arial" w:cs="Arial"/>
        </w:rPr>
        <w:t xml:space="preserve"> wobei es sich um die einzige von allen europäischen und OECD-Ländern auf internationaler Ebene anerkannte Liste der verm</w:t>
      </w:r>
      <w:r w:rsidR="00C07874" w:rsidRPr="00642CA0">
        <w:rPr>
          <w:rFonts w:ascii="Arial" w:hAnsi="Arial" w:cs="Arial"/>
        </w:rPr>
        <w:t xml:space="preserve">eidbaren Sterblichkeit handelt. </w:t>
      </w:r>
      <w:r w:rsidR="006D08E8" w:rsidRPr="00642CA0">
        <w:rPr>
          <w:rFonts w:ascii="Arial" w:hAnsi="Arial" w:cs="Arial"/>
        </w:rPr>
        <w:br/>
      </w:r>
      <w:r w:rsidR="002E5E53" w:rsidRPr="00642CA0">
        <w:rPr>
          <w:rFonts w:ascii="Arial" w:hAnsi="Arial" w:cs="Arial"/>
        </w:rPr>
        <w:t xml:space="preserve">Die Liste </w:t>
      </w:r>
      <w:r w:rsidR="006D08E8" w:rsidRPr="00642CA0">
        <w:rPr>
          <w:rFonts w:ascii="Arial" w:hAnsi="Arial" w:cs="Arial"/>
        </w:rPr>
        <w:t xml:space="preserve">umfasst eine explizite Zuschreibung der vermeidbaren Todesursachen in </w:t>
      </w:r>
      <w:proofErr w:type="spellStart"/>
      <w:r w:rsidR="006D08E8" w:rsidRPr="00642CA0">
        <w:rPr>
          <w:rFonts w:ascii="Arial" w:hAnsi="Arial" w:cs="Arial"/>
          <w:i/>
          <w:iCs/>
        </w:rPr>
        <w:t>prävenierbare</w:t>
      </w:r>
      <w:proofErr w:type="spellEnd"/>
      <w:r w:rsidR="006D08E8" w:rsidRPr="00642CA0">
        <w:rPr>
          <w:rFonts w:ascii="Arial" w:hAnsi="Arial" w:cs="Arial"/>
          <w:i/>
          <w:iCs/>
        </w:rPr>
        <w:t xml:space="preserve"> Todesursachen </w:t>
      </w:r>
      <w:r w:rsidR="006D08E8" w:rsidRPr="00642CA0">
        <w:rPr>
          <w:rFonts w:ascii="Arial" w:hAnsi="Arial" w:cs="Arial"/>
        </w:rPr>
        <w:t xml:space="preserve">und </w:t>
      </w:r>
      <w:r w:rsidR="006D08E8" w:rsidRPr="00642CA0">
        <w:rPr>
          <w:rFonts w:ascii="Arial" w:hAnsi="Arial" w:cs="Arial"/>
          <w:i/>
          <w:iCs/>
        </w:rPr>
        <w:t>behandelbare Todesursachen</w:t>
      </w:r>
      <w:r w:rsidR="006D08E8" w:rsidRPr="00642CA0">
        <w:rPr>
          <w:rFonts w:ascii="Arial" w:hAnsi="Arial" w:cs="Arial"/>
        </w:rPr>
        <w:t xml:space="preserve">. </w:t>
      </w:r>
      <w:r w:rsidR="00C248ED" w:rsidRPr="00642CA0">
        <w:rPr>
          <w:rFonts w:ascii="Arial" w:hAnsi="Arial" w:cs="Arial"/>
        </w:rPr>
        <w:t xml:space="preserve">Die Zuordnung zur jeweiligen Kategorie erfolgt danach, ob die Todesursache </w:t>
      </w:r>
      <w:r w:rsidR="00C248ED" w:rsidRPr="00642CA0">
        <w:rPr>
          <w:rFonts w:ascii="Arial" w:hAnsi="Arial" w:cs="Arial"/>
          <w:i/>
        </w:rPr>
        <w:t>vorwiegend</w:t>
      </w:r>
      <w:r w:rsidR="00C248ED" w:rsidRPr="00642CA0">
        <w:rPr>
          <w:rFonts w:ascii="Arial" w:hAnsi="Arial" w:cs="Arial"/>
        </w:rPr>
        <w:t xml:space="preserve"> durch Präventions- oder </w:t>
      </w:r>
      <w:r w:rsidR="001C0A55" w:rsidRPr="00642CA0">
        <w:rPr>
          <w:rFonts w:ascii="Arial" w:hAnsi="Arial" w:cs="Arial"/>
        </w:rPr>
        <w:t xml:space="preserve">therapeutische Interventionen </w:t>
      </w:r>
      <w:r w:rsidR="00C248ED" w:rsidRPr="00642CA0">
        <w:rPr>
          <w:rFonts w:ascii="Arial" w:hAnsi="Arial" w:cs="Arial"/>
        </w:rPr>
        <w:t>hätte vermieden werden können. Bei einigen Todesursachen k</w:t>
      </w:r>
      <w:r w:rsidR="002E5E53" w:rsidRPr="00642CA0">
        <w:rPr>
          <w:rFonts w:ascii="Arial" w:hAnsi="Arial" w:cs="Arial"/>
        </w:rPr>
        <w:t>ann</w:t>
      </w:r>
      <w:r w:rsidR="00C248ED" w:rsidRPr="00642CA0">
        <w:rPr>
          <w:rFonts w:ascii="Arial" w:hAnsi="Arial" w:cs="Arial"/>
        </w:rPr>
        <w:t xml:space="preserve"> diese vorwiegende Zuordnung nicht erfolgen, dort w</w:t>
      </w:r>
      <w:r w:rsidR="002E5E53" w:rsidRPr="00642CA0">
        <w:rPr>
          <w:rFonts w:ascii="Arial" w:hAnsi="Arial" w:cs="Arial"/>
        </w:rPr>
        <w:t>e</w:t>
      </w:r>
      <w:r w:rsidR="00C248ED" w:rsidRPr="00642CA0">
        <w:rPr>
          <w:rFonts w:ascii="Arial" w:hAnsi="Arial" w:cs="Arial"/>
        </w:rPr>
        <w:t xml:space="preserve">rden die Todesfälle zu 50% als </w:t>
      </w:r>
      <w:proofErr w:type="spellStart"/>
      <w:r w:rsidR="00C248ED" w:rsidRPr="00642CA0">
        <w:rPr>
          <w:rFonts w:ascii="Arial" w:hAnsi="Arial" w:cs="Arial"/>
        </w:rPr>
        <w:t>prävenierbar</w:t>
      </w:r>
      <w:proofErr w:type="spellEnd"/>
      <w:r w:rsidR="00C248ED" w:rsidRPr="00642CA0">
        <w:rPr>
          <w:rFonts w:ascii="Arial" w:hAnsi="Arial" w:cs="Arial"/>
        </w:rPr>
        <w:t xml:space="preserve"> und zu 50% als durch Behandlung vermeidbar eingestuft.</w:t>
      </w:r>
      <w:r w:rsidR="006D08E8" w:rsidRPr="00642CA0">
        <w:rPr>
          <w:rFonts w:ascii="Arial" w:hAnsi="Arial" w:cs="Arial"/>
        </w:rPr>
        <w:br/>
        <w:t xml:space="preserve">Es werden Sterbefälle ab 0 Jahren bis unter 75 Jahren einbezogen. Diese Altersgrenze basiert auf der aktuellen Lebenserwartung in europäischen und entwickelten Ländern und spiegelt das Ausmaß wider, in dem ein Tod unter 75 Jahren mit hoher Wahrscheinlichkeit hätte verhindert werden können. </w:t>
      </w:r>
    </w:p>
    <w:p w14:paraId="34EFB85B" w14:textId="6B803E1E" w:rsidR="00C07874" w:rsidRPr="00642CA0" w:rsidRDefault="00C07874" w:rsidP="00C248ED">
      <w:pPr>
        <w:autoSpaceDE w:val="0"/>
        <w:autoSpaceDN w:val="0"/>
        <w:adjustRightInd w:val="0"/>
        <w:rPr>
          <w:rFonts w:ascii="Arial" w:hAnsi="Arial" w:cs="Arial"/>
        </w:rPr>
      </w:pPr>
    </w:p>
    <w:p w14:paraId="31DBF48B" w14:textId="66F55BF3" w:rsidR="00C07874" w:rsidRPr="00642CA0" w:rsidRDefault="00C07874" w:rsidP="00C248ED">
      <w:pPr>
        <w:autoSpaceDE w:val="0"/>
        <w:autoSpaceDN w:val="0"/>
        <w:adjustRightInd w:val="0"/>
        <w:rPr>
          <w:rFonts w:ascii="Arial" w:hAnsi="Arial" w:cs="Arial"/>
          <w:b/>
        </w:rPr>
      </w:pPr>
      <w:r w:rsidRPr="00642CA0">
        <w:rPr>
          <w:rFonts w:ascii="Arial" w:hAnsi="Arial" w:cs="Arial"/>
        </w:rPr>
        <w:t>Die OECD-</w:t>
      </w:r>
      <w:proofErr w:type="spellStart"/>
      <w:r w:rsidRPr="00642CA0">
        <w:rPr>
          <w:rFonts w:ascii="Arial" w:hAnsi="Arial" w:cs="Arial"/>
        </w:rPr>
        <w:t>Eurostat</w:t>
      </w:r>
      <w:proofErr w:type="spellEnd"/>
      <w:r w:rsidRPr="00642CA0">
        <w:rPr>
          <w:rFonts w:ascii="Arial" w:hAnsi="Arial" w:cs="Arial"/>
        </w:rPr>
        <w:t xml:space="preserve">-Liste wird regelmäßig aktualisiert, die beim vorliegenden Indikator berichteten Zahlen beziehen sich auf die </w:t>
      </w:r>
      <w:r w:rsidRPr="00D85E63">
        <w:rPr>
          <w:rFonts w:ascii="Arial" w:hAnsi="Arial" w:cs="Arial"/>
        </w:rPr>
        <w:t xml:space="preserve">Liste </w:t>
      </w:r>
      <w:bookmarkStart w:id="0" w:name="_GoBack"/>
      <w:r w:rsidRPr="00815107">
        <w:rPr>
          <w:rFonts w:ascii="Arial" w:hAnsi="Arial" w:cs="Arial"/>
          <w:b/>
        </w:rPr>
        <w:t xml:space="preserve">Stand </w:t>
      </w:r>
      <w:r w:rsidR="000F4AAC" w:rsidRPr="00815107">
        <w:rPr>
          <w:rFonts w:ascii="Arial" w:hAnsi="Arial" w:cs="Arial"/>
          <w:b/>
        </w:rPr>
        <w:t>Januar 2022</w:t>
      </w:r>
      <w:bookmarkEnd w:id="0"/>
      <w:r w:rsidRPr="00642CA0">
        <w:rPr>
          <w:rFonts w:ascii="Arial" w:hAnsi="Arial" w:cs="Arial"/>
        </w:rPr>
        <w:t>. Ein eventueller Anpassungsbedarf wird regelmäßig geprüft.</w:t>
      </w:r>
    </w:p>
    <w:p w14:paraId="201CB019" w14:textId="77777777" w:rsidR="004C0702" w:rsidRPr="00521B3F" w:rsidRDefault="004C0702">
      <w:pPr>
        <w:jc w:val="both"/>
        <w:rPr>
          <w:rFonts w:ascii="Arial" w:hAnsi="Arial" w:cs="Arial"/>
          <w:b/>
        </w:rPr>
      </w:pPr>
    </w:p>
    <w:p w14:paraId="079C7AD7" w14:textId="77777777" w:rsidR="004C0702" w:rsidRPr="00521B3F" w:rsidRDefault="004C0702">
      <w:pPr>
        <w:jc w:val="both"/>
        <w:rPr>
          <w:rFonts w:ascii="Arial" w:hAnsi="Arial" w:cs="Arial"/>
          <w:b/>
        </w:rPr>
      </w:pPr>
      <w:r w:rsidRPr="00521B3F">
        <w:rPr>
          <w:rFonts w:ascii="Arial" w:hAnsi="Arial" w:cs="Arial"/>
          <w:b/>
        </w:rPr>
        <w:t>Datenhalter</w:t>
      </w:r>
    </w:p>
    <w:p w14:paraId="19212FB9" w14:textId="77777777" w:rsidR="004C0702" w:rsidRPr="00521B3F" w:rsidRDefault="004C0702">
      <w:pPr>
        <w:jc w:val="both"/>
        <w:rPr>
          <w:rFonts w:ascii="Arial" w:hAnsi="Arial" w:cs="Arial"/>
        </w:rPr>
      </w:pPr>
      <w:r w:rsidRPr="00521B3F">
        <w:rPr>
          <w:rFonts w:ascii="Arial" w:hAnsi="Arial" w:cs="Arial"/>
        </w:rPr>
        <w:t>Statistische Landesämter</w:t>
      </w:r>
    </w:p>
    <w:p w14:paraId="293086BA" w14:textId="77777777" w:rsidR="004C0702" w:rsidRPr="00521B3F" w:rsidRDefault="004C0702">
      <w:pPr>
        <w:jc w:val="both"/>
        <w:rPr>
          <w:rFonts w:ascii="Arial" w:hAnsi="Arial" w:cs="Arial"/>
        </w:rPr>
      </w:pPr>
    </w:p>
    <w:p w14:paraId="45AD6217" w14:textId="77777777" w:rsidR="004C0702" w:rsidRPr="00521B3F" w:rsidRDefault="004C0702">
      <w:pPr>
        <w:jc w:val="both"/>
        <w:rPr>
          <w:rFonts w:ascii="Arial" w:hAnsi="Arial" w:cs="Arial"/>
          <w:b/>
        </w:rPr>
      </w:pPr>
      <w:r w:rsidRPr="00521B3F">
        <w:rPr>
          <w:rFonts w:ascii="Arial" w:hAnsi="Arial" w:cs="Arial"/>
          <w:b/>
        </w:rPr>
        <w:t>Datenquelle</w:t>
      </w:r>
    </w:p>
    <w:p w14:paraId="2798E200" w14:textId="77777777" w:rsidR="004C0702" w:rsidRPr="00521B3F" w:rsidRDefault="004C0702">
      <w:pPr>
        <w:numPr>
          <w:ilvl w:val="0"/>
          <w:numId w:val="3"/>
        </w:numPr>
        <w:rPr>
          <w:rFonts w:ascii="Arial" w:hAnsi="Arial" w:cs="Arial"/>
        </w:rPr>
      </w:pPr>
      <w:r w:rsidRPr="00521B3F">
        <w:rPr>
          <w:rFonts w:ascii="Arial" w:hAnsi="Arial" w:cs="Arial"/>
        </w:rPr>
        <w:t>Todesursachenstatistik</w:t>
      </w:r>
    </w:p>
    <w:p w14:paraId="2F22E514" w14:textId="77777777" w:rsidR="004C0702" w:rsidRPr="00521B3F" w:rsidRDefault="004C0702">
      <w:pPr>
        <w:numPr>
          <w:ilvl w:val="0"/>
          <w:numId w:val="4"/>
        </w:numPr>
        <w:rPr>
          <w:rFonts w:ascii="Arial" w:hAnsi="Arial" w:cs="Arial"/>
        </w:rPr>
      </w:pPr>
      <w:r w:rsidRPr="00521B3F">
        <w:rPr>
          <w:rFonts w:ascii="Arial" w:hAnsi="Arial" w:cs="Arial"/>
        </w:rPr>
        <w:t>Bevölkerungsstatistik</w:t>
      </w:r>
    </w:p>
    <w:p w14:paraId="68BB0A41" w14:textId="77777777" w:rsidR="00277D34" w:rsidRPr="00521B3F" w:rsidRDefault="00277D34">
      <w:pPr>
        <w:jc w:val="both"/>
        <w:rPr>
          <w:rFonts w:ascii="Arial" w:hAnsi="Arial" w:cs="Arial"/>
          <w:b/>
        </w:rPr>
      </w:pPr>
    </w:p>
    <w:p w14:paraId="6A853F38" w14:textId="77777777" w:rsidR="004C0702" w:rsidRPr="00521B3F" w:rsidRDefault="004C0702">
      <w:pPr>
        <w:jc w:val="both"/>
        <w:rPr>
          <w:rFonts w:ascii="Arial" w:hAnsi="Arial" w:cs="Arial"/>
        </w:rPr>
      </w:pPr>
      <w:r w:rsidRPr="00521B3F">
        <w:rPr>
          <w:rFonts w:ascii="Arial" w:hAnsi="Arial" w:cs="Arial"/>
          <w:b/>
        </w:rPr>
        <w:t>Periodizität</w:t>
      </w:r>
    </w:p>
    <w:p w14:paraId="14D73EDB" w14:textId="77777777" w:rsidR="004C0702" w:rsidRPr="00521B3F" w:rsidRDefault="004C0702">
      <w:pPr>
        <w:jc w:val="both"/>
        <w:rPr>
          <w:rFonts w:ascii="Arial" w:hAnsi="Arial" w:cs="Arial"/>
        </w:rPr>
      </w:pPr>
      <w:r w:rsidRPr="00521B3F">
        <w:rPr>
          <w:rFonts w:ascii="Arial" w:hAnsi="Arial" w:cs="Arial"/>
        </w:rPr>
        <w:t>Jährlich, 31.12.</w:t>
      </w:r>
    </w:p>
    <w:p w14:paraId="20932689" w14:textId="77777777" w:rsidR="004C0702" w:rsidRPr="00521B3F" w:rsidRDefault="004C0702">
      <w:pPr>
        <w:jc w:val="both"/>
        <w:rPr>
          <w:rFonts w:ascii="Arial" w:hAnsi="Arial" w:cs="Arial"/>
        </w:rPr>
      </w:pPr>
    </w:p>
    <w:p w14:paraId="483A1A7B" w14:textId="77777777" w:rsidR="004C0702" w:rsidRPr="00521B3F" w:rsidRDefault="004C0702">
      <w:pPr>
        <w:jc w:val="both"/>
        <w:rPr>
          <w:rFonts w:ascii="Arial" w:hAnsi="Arial" w:cs="Arial"/>
        </w:rPr>
      </w:pPr>
      <w:r w:rsidRPr="00521B3F">
        <w:rPr>
          <w:rFonts w:ascii="Arial" w:hAnsi="Arial" w:cs="Arial"/>
          <w:b/>
        </w:rPr>
        <w:t>Validität</w:t>
      </w:r>
    </w:p>
    <w:p w14:paraId="7816A9CF" w14:textId="0A80B1C4" w:rsidR="00E4236E" w:rsidRPr="00642CA0" w:rsidRDefault="00170882" w:rsidP="00E4236E">
      <w:pPr>
        <w:pStyle w:val="flietext"/>
        <w:spacing w:after="0" w:line="240" w:lineRule="auto"/>
        <w:jc w:val="left"/>
        <w:rPr>
          <w:rFonts w:cs="Arial"/>
          <w:sz w:val="20"/>
        </w:rPr>
      </w:pPr>
      <w:r w:rsidRPr="00642CA0">
        <w:rPr>
          <w:rFonts w:cs="Arial"/>
          <w:sz w:val="20"/>
        </w:rPr>
        <w:t xml:space="preserve">Im Vergleich zu den </w:t>
      </w:r>
      <w:r w:rsidR="00882AE4" w:rsidRPr="00642CA0">
        <w:rPr>
          <w:rFonts w:cs="Arial"/>
          <w:sz w:val="20"/>
        </w:rPr>
        <w:t xml:space="preserve">älteren </w:t>
      </w:r>
      <w:r w:rsidR="00E85EDD" w:rsidRPr="00642CA0">
        <w:rPr>
          <w:rFonts w:cs="Arial"/>
          <w:sz w:val="20"/>
        </w:rPr>
        <w:t xml:space="preserve">bislang </w:t>
      </w:r>
      <w:r w:rsidRPr="00642CA0">
        <w:rPr>
          <w:rFonts w:cs="Arial"/>
          <w:sz w:val="20"/>
        </w:rPr>
        <w:t xml:space="preserve">in der Gesundheitsberichterstattung verwendeten Varianten des Indikators </w:t>
      </w:r>
      <w:r w:rsidR="00E85EDD" w:rsidRPr="00642CA0">
        <w:rPr>
          <w:rFonts w:cs="Arial"/>
          <w:sz w:val="20"/>
        </w:rPr>
        <w:t xml:space="preserve">(basierend auf Vorschlägen des Sachverständigenrates im Gesundheitswesen bzw. auf einer Liste aus dem </w:t>
      </w:r>
      <w:proofErr w:type="spellStart"/>
      <w:r w:rsidR="00E85EDD" w:rsidRPr="00642CA0">
        <w:rPr>
          <w:rFonts w:cs="Arial"/>
          <w:sz w:val="20"/>
        </w:rPr>
        <w:t>Indikatorensatz</w:t>
      </w:r>
      <w:proofErr w:type="spellEnd"/>
      <w:r w:rsidR="00E85EDD" w:rsidRPr="00642CA0">
        <w:rPr>
          <w:rFonts w:cs="Arial"/>
          <w:sz w:val="20"/>
        </w:rPr>
        <w:t xml:space="preserve"> der Arbeitsgemeinschaft der Obersten Landesgesundheitsbehörden (AOLG) für die Gesundheitsberichterstattung der Länder) verwendet die vorliegende  </w:t>
      </w:r>
      <w:r w:rsidR="000E1ED1" w:rsidRPr="00642CA0">
        <w:rPr>
          <w:rFonts w:cs="Arial"/>
          <w:sz w:val="20"/>
        </w:rPr>
        <w:t>Neufassung des Indikators</w:t>
      </w:r>
      <w:r w:rsidR="00E85EDD" w:rsidRPr="00642CA0">
        <w:rPr>
          <w:rFonts w:cs="Arial"/>
          <w:sz w:val="20"/>
        </w:rPr>
        <w:t xml:space="preserve"> eine erheblich umfassendere Todesursachenliste und </w:t>
      </w:r>
      <w:r w:rsidRPr="00642CA0">
        <w:rPr>
          <w:rFonts w:cs="Arial"/>
          <w:sz w:val="20"/>
        </w:rPr>
        <w:t xml:space="preserve">vermittelt </w:t>
      </w:r>
      <w:r w:rsidR="00E85EDD" w:rsidRPr="00642CA0">
        <w:rPr>
          <w:rFonts w:cs="Arial"/>
          <w:sz w:val="20"/>
        </w:rPr>
        <w:t xml:space="preserve">ein </w:t>
      </w:r>
      <w:r w:rsidRPr="00642CA0">
        <w:rPr>
          <w:rFonts w:cs="Arial"/>
          <w:sz w:val="20"/>
        </w:rPr>
        <w:t xml:space="preserve">dem aktuellen Stand </w:t>
      </w:r>
      <w:r w:rsidR="00E85EDD" w:rsidRPr="00642CA0">
        <w:rPr>
          <w:rFonts w:cs="Arial"/>
          <w:sz w:val="20"/>
        </w:rPr>
        <w:t>von</w:t>
      </w:r>
      <w:r w:rsidRPr="00642CA0">
        <w:rPr>
          <w:rFonts w:cs="Arial"/>
          <w:sz w:val="20"/>
        </w:rPr>
        <w:t xml:space="preserve"> Versorgung und Prävention angepasstes Bild des Ausmaßes der vermeidbaren Sterblichkeit</w:t>
      </w:r>
      <w:r w:rsidR="00E85EDD" w:rsidRPr="00642CA0">
        <w:rPr>
          <w:rFonts w:cs="Arial"/>
          <w:sz w:val="20"/>
        </w:rPr>
        <w:t>. Zudem</w:t>
      </w:r>
      <w:r w:rsidRPr="00642CA0">
        <w:rPr>
          <w:rFonts w:cs="Arial"/>
          <w:sz w:val="20"/>
        </w:rPr>
        <w:t xml:space="preserve"> lässt </w:t>
      </w:r>
      <w:r w:rsidR="00E85EDD" w:rsidRPr="00642CA0">
        <w:rPr>
          <w:rFonts w:cs="Arial"/>
          <w:sz w:val="20"/>
        </w:rPr>
        <w:t xml:space="preserve">sie </w:t>
      </w:r>
      <w:r w:rsidRPr="00642CA0">
        <w:rPr>
          <w:rFonts w:cs="Arial"/>
          <w:sz w:val="20"/>
        </w:rPr>
        <w:t xml:space="preserve">erstmals eine Differenzierung in behandelbare und </w:t>
      </w:r>
      <w:proofErr w:type="spellStart"/>
      <w:r w:rsidRPr="00642CA0">
        <w:rPr>
          <w:rFonts w:cs="Arial"/>
          <w:sz w:val="20"/>
        </w:rPr>
        <w:t>prävenierbare</w:t>
      </w:r>
      <w:proofErr w:type="spellEnd"/>
      <w:r w:rsidRPr="00642CA0">
        <w:rPr>
          <w:rFonts w:cs="Arial"/>
          <w:sz w:val="20"/>
        </w:rPr>
        <w:t xml:space="preserve"> Sterblichkeit zu</w:t>
      </w:r>
      <w:r w:rsidR="00E4236E" w:rsidRPr="00642CA0">
        <w:rPr>
          <w:rFonts w:cs="Arial"/>
          <w:sz w:val="20"/>
        </w:rPr>
        <w:t>.</w:t>
      </w:r>
    </w:p>
    <w:p w14:paraId="187D7532" w14:textId="5FF27AD0" w:rsidR="00E4236E" w:rsidRPr="00642CA0" w:rsidRDefault="00E4236E" w:rsidP="00E4236E">
      <w:pPr>
        <w:autoSpaceDE w:val="0"/>
        <w:autoSpaceDN w:val="0"/>
        <w:adjustRightInd w:val="0"/>
        <w:rPr>
          <w:rFonts w:ascii="Arial" w:hAnsi="Arial" w:cs="Arial"/>
        </w:rPr>
      </w:pPr>
      <w:r w:rsidRPr="00642CA0">
        <w:rPr>
          <w:rFonts w:ascii="Arial" w:hAnsi="Arial" w:cs="Arial"/>
        </w:rPr>
        <w:t xml:space="preserve">Die empirische Überprüfung </w:t>
      </w:r>
      <w:r w:rsidR="000E1ED1" w:rsidRPr="00642CA0">
        <w:rPr>
          <w:rFonts w:ascii="Arial" w:hAnsi="Arial" w:cs="Arial"/>
        </w:rPr>
        <w:t xml:space="preserve">des neugefassten Indikators </w:t>
      </w:r>
      <w:r w:rsidRPr="00642CA0">
        <w:rPr>
          <w:rFonts w:ascii="Arial" w:hAnsi="Arial" w:cs="Arial"/>
        </w:rPr>
        <w:t>für Bayern und die bayerischen Regierungsbezirke erg</w:t>
      </w:r>
      <w:r w:rsidR="000E1ED1" w:rsidRPr="00642CA0">
        <w:rPr>
          <w:rFonts w:ascii="Arial" w:hAnsi="Arial" w:cs="Arial"/>
        </w:rPr>
        <w:t>ab</w:t>
      </w:r>
      <w:r w:rsidRPr="00642CA0">
        <w:rPr>
          <w:rFonts w:ascii="Arial" w:hAnsi="Arial" w:cs="Arial"/>
        </w:rPr>
        <w:t xml:space="preserve">, dass die errechneten Werte relativ stabil über die Zeit sind und damit nicht anfällig für größere zufallsbedingte Schwankungen erscheinen. </w:t>
      </w:r>
      <w:r w:rsidR="000E1ED1" w:rsidRPr="00642CA0">
        <w:rPr>
          <w:rFonts w:ascii="Arial" w:hAnsi="Arial" w:cs="Arial"/>
        </w:rPr>
        <w:t>Eine kleinräumige Berechnung auf Kreisebene wird aufgrund der vergleichsweise geringen Fallzahlen und dadurch bedingten erheblichen Schwankungen, die nicht belastbar interpretiert werden können, nicht durchgeführt.</w:t>
      </w:r>
    </w:p>
    <w:p w14:paraId="2005B08B" w14:textId="77777777" w:rsidR="000E1ED1" w:rsidRPr="00642CA0" w:rsidRDefault="000E1ED1" w:rsidP="00E4236E">
      <w:pPr>
        <w:autoSpaceDE w:val="0"/>
        <w:autoSpaceDN w:val="0"/>
        <w:adjustRightInd w:val="0"/>
        <w:rPr>
          <w:rFonts w:ascii="Arial" w:hAnsi="Arial" w:cs="Arial"/>
        </w:rPr>
      </w:pPr>
    </w:p>
    <w:p w14:paraId="155292E0" w14:textId="745E6F27" w:rsidR="00E4236E" w:rsidRPr="00521B3F" w:rsidRDefault="00E4236E" w:rsidP="00E4236E">
      <w:pPr>
        <w:pStyle w:val="flietext"/>
        <w:spacing w:after="0" w:line="240" w:lineRule="auto"/>
        <w:jc w:val="left"/>
        <w:rPr>
          <w:rFonts w:cs="Arial"/>
          <w:color w:val="000000"/>
          <w:sz w:val="20"/>
        </w:rPr>
      </w:pPr>
      <w:r w:rsidRPr="00521B3F">
        <w:rPr>
          <w:rFonts w:cs="Arial"/>
          <w:color w:val="000000"/>
          <w:sz w:val="20"/>
        </w:rPr>
        <w:t xml:space="preserve">Um über Jahre </w:t>
      </w:r>
      <w:r w:rsidR="00DC72A7" w:rsidRPr="00521B3F">
        <w:rPr>
          <w:rFonts w:cs="Arial"/>
          <w:color w:val="000000"/>
          <w:sz w:val="20"/>
        </w:rPr>
        <w:t xml:space="preserve">und zwischen Regionen </w:t>
      </w:r>
      <w:r w:rsidRPr="00521B3F">
        <w:rPr>
          <w:rFonts w:cs="Arial"/>
          <w:color w:val="000000"/>
          <w:sz w:val="20"/>
        </w:rPr>
        <w:t xml:space="preserve">eine Vergleichbarkeit der vermeidbaren Sterblichkeit zu erzielen, erfolgt eine direkte Altersstandardisierung auf die </w:t>
      </w:r>
      <w:r w:rsidR="00DC72A7" w:rsidRPr="00521B3F">
        <w:rPr>
          <w:rFonts w:cs="Arial"/>
          <w:color w:val="000000"/>
          <w:sz w:val="20"/>
        </w:rPr>
        <w:t>Standardbevölkerung „Deutschland 2011“</w:t>
      </w:r>
      <w:r w:rsidRPr="00521B3F">
        <w:rPr>
          <w:rFonts w:cs="Arial"/>
          <w:color w:val="000000"/>
          <w:sz w:val="20"/>
        </w:rPr>
        <w:t>.</w:t>
      </w:r>
    </w:p>
    <w:p w14:paraId="1BD94EB4" w14:textId="77777777" w:rsidR="00231050" w:rsidRPr="00521B3F" w:rsidRDefault="00231050">
      <w:pPr>
        <w:jc w:val="both"/>
        <w:rPr>
          <w:rFonts w:ascii="Arial" w:hAnsi="Arial" w:cs="Arial"/>
          <w:b/>
        </w:rPr>
      </w:pPr>
    </w:p>
    <w:p w14:paraId="7AAD131F" w14:textId="77777777" w:rsidR="004C0702" w:rsidRPr="00521B3F" w:rsidRDefault="004C0702">
      <w:pPr>
        <w:jc w:val="both"/>
        <w:rPr>
          <w:rFonts w:ascii="Arial" w:hAnsi="Arial" w:cs="Arial"/>
          <w:b/>
        </w:rPr>
      </w:pPr>
      <w:r w:rsidRPr="00521B3F">
        <w:rPr>
          <w:rFonts w:ascii="Arial" w:hAnsi="Arial" w:cs="Arial"/>
          <w:b/>
        </w:rPr>
        <w:t>Kommentar</w:t>
      </w:r>
    </w:p>
    <w:p w14:paraId="5CC39441" w14:textId="77777777" w:rsidR="004C0702" w:rsidRPr="00521B3F" w:rsidRDefault="004C0702">
      <w:pPr>
        <w:pStyle w:val="flietext"/>
        <w:spacing w:after="0" w:line="240" w:lineRule="auto"/>
        <w:jc w:val="left"/>
        <w:rPr>
          <w:rFonts w:cs="Arial"/>
          <w:sz w:val="20"/>
        </w:rPr>
      </w:pPr>
      <w:r w:rsidRPr="00521B3F">
        <w:rPr>
          <w:rFonts w:cs="Arial"/>
          <w:sz w:val="20"/>
        </w:rPr>
        <w:t xml:space="preserve">Unter der Voraussetzung, dass zur Bekämpfung vermeidbarer Todesfälle wirksame </w:t>
      </w:r>
      <w:r w:rsidR="000E1ED1" w:rsidRPr="00521B3F">
        <w:rPr>
          <w:rFonts w:cs="Arial"/>
          <w:sz w:val="20"/>
        </w:rPr>
        <w:t xml:space="preserve">primärpräventive, </w:t>
      </w:r>
      <w:r w:rsidRPr="00521B3F">
        <w:rPr>
          <w:rFonts w:cs="Arial"/>
          <w:sz w:val="20"/>
        </w:rPr>
        <w:t>Vorsorge- oder Früherkennungsprogramme bzw. Therapiemaßnahmen existieren, ist zu erwarten, dass die Sterblichkeit an diesen Todesursachen im Zeitvergleich zurückgeht oder zumindest nicht zunimmt.</w:t>
      </w:r>
    </w:p>
    <w:p w14:paraId="561B7587" w14:textId="77777777" w:rsidR="004C0702" w:rsidRPr="00521B3F" w:rsidRDefault="004C0702">
      <w:pPr>
        <w:rPr>
          <w:rFonts w:ascii="Arial" w:hAnsi="Arial" w:cs="Arial"/>
        </w:rPr>
      </w:pPr>
      <w:r w:rsidRPr="00521B3F">
        <w:rPr>
          <w:rFonts w:ascii="Arial" w:hAnsi="Arial" w:cs="Arial"/>
        </w:rPr>
        <w:t>Der Indikator zählt zu den Ergebnisindikatoren.</w:t>
      </w:r>
    </w:p>
    <w:p w14:paraId="767895CE" w14:textId="77777777" w:rsidR="004C0702" w:rsidRPr="00521B3F" w:rsidRDefault="004C0702">
      <w:pPr>
        <w:jc w:val="both"/>
        <w:rPr>
          <w:rFonts w:ascii="Arial" w:hAnsi="Arial" w:cs="Arial"/>
        </w:rPr>
      </w:pPr>
    </w:p>
    <w:p w14:paraId="0B17F0E8" w14:textId="77777777" w:rsidR="004C0702" w:rsidRPr="00521B3F" w:rsidRDefault="004C0702">
      <w:pPr>
        <w:jc w:val="both"/>
        <w:rPr>
          <w:rFonts w:ascii="Arial" w:hAnsi="Arial" w:cs="Arial"/>
          <w:color w:val="000000"/>
        </w:rPr>
      </w:pPr>
      <w:r w:rsidRPr="00521B3F">
        <w:rPr>
          <w:rFonts w:ascii="Arial" w:hAnsi="Arial" w:cs="Arial"/>
          <w:b/>
          <w:color w:val="000000"/>
        </w:rPr>
        <w:t>Vergleichbarkeit</w:t>
      </w:r>
    </w:p>
    <w:p w14:paraId="799D48AE" w14:textId="17EB71A9" w:rsidR="004C0702" w:rsidRPr="00D85E63" w:rsidRDefault="00B24382" w:rsidP="00D415D1">
      <w:pPr>
        <w:jc w:val="both"/>
        <w:rPr>
          <w:rFonts w:ascii="Arial" w:hAnsi="Arial" w:cs="Arial"/>
        </w:rPr>
      </w:pPr>
      <w:r w:rsidRPr="00D85E63">
        <w:rPr>
          <w:rFonts w:ascii="Arial" w:hAnsi="Arial" w:cs="Arial"/>
        </w:rPr>
        <w:t xml:space="preserve">In den </w:t>
      </w:r>
      <w:proofErr w:type="spellStart"/>
      <w:r w:rsidR="004C0702" w:rsidRPr="00D85E63">
        <w:rPr>
          <w:rFonts w:ascii="Arial" w:hAnsi="Arial" w:cs="Arial"/>
        </w:rPr>
        <w:t>Indikatorens</w:t>
      </w:r>
      <w:r w:rsidRPr="00D85E63">
        <w:rPr>
          <w:rFonts w:ascii="Arial" w:hAnsi="Arial" w:cs="Arial"/>
        </w:rPr>
        <w:t>ät</w:t>
      </w:r>
      <w:r w:rsidR="00080548" w:rsidRPr="00D85E63">
        <w:rPr>
          <w:rFonts w:ascii="Arial" w:hAnsi="Arial" w:cs="Arial"/>
        </w:rPr>
        <w:t>z</w:t>
      </w:r>
      <w:r w:rsidRPr="00D85E63">
        <w:rPr>
          <w:rFonts w:ascii="Arial" w:hAnsi="Arial" w:cs="Arial"/>
        </w:rPr>
        <w:t>en</w:t>
      </w:r>
      <w:proofErr w:type="spellEnd"/>
      <w:r w:rsidR="000377A6" w:rsidRPr="00D85E63">
        <w:rPr>
          <w:rFonts w:ascii="Arial" w:hAnsi="Arial" w:cs="Arial"/>
        </w:rPr>
        <w:t xml:space="preserve"> </w:t>
      </w:r>
      <w:r w:rsidR="004C0702" w:rsidRPr="00D85E63">
        <w:rPr>
          <w:rFonts w:ascii="Arial" w:hAnsi="Arial" w:cs="Arial"/>
        </w:rPr>
        <w:t>der OECD</w:t>
      </w:r>
      <w:r w:rsidR="00293BFE" w:rsidRPr="00D85E63">
        <w:rPr>
          <w:rFonts w:ascii="Arial" w:hAnsi="Arial" w:cs="Arial"/>
        </w:rPr>
        <w:t xml:space="preserve"> und </w:t>
      </w:r>
      <w:proofErr w:type="spellStart"/>
      <w:r w:rsidR="00293BFE" w:rsidRPr="00D85E63">
        <w:rPr>
          <w:rFonts w:ascii="Arial" w:hAnsi="Arial" w:cs="Arial"/>
        </w:rPr>
        <w:t>Eurost</w:t>
      </w:r>
      <w:r w:rsidRPr="00D85E63">
        <w:rPr>
          <w:rFonts w:ascii="Arial" w:hAnsi="Arial" w:cs="Arial"/>
        </w:rPr>
        <w:t>at</w:t>
      </w:r>
      <w:proofErr w:type="spellEnd"/>
      <w:r w:rsidR="004C0702" w:rsidRPr="00D85E63">
        <w:rPr>
          <w:rFonts w:ascii="Arial" w:hAnsi="Arial" w:cs="Arial"/>
        </w:rPr>
        <w:t xml:space="preserve"> </w:t>
      </w:r>
      <w:r w:rsidR="00080548" w:rsidRPr="00D85E63">
        <w:rPr>
          <w:rFonts w:ascii="Arial" w:hAnsi="Arial" w:cs="Arial"/>
        </w:rPr>
        <w:t>wird der Indikator „vermeidbare Sterblichkeit“ („</w:t>
      </w:r>
      <w:proofErr w:type="spellStart"/>
      <w:r w:rsidR="00080548" w:rsidRPr="00D85E63">
        <w:rPr>
          <w:rFonts w:ascii="Arial" w:hAnsi="Arial" w:cs="Arial"/>
        </w:rPr>
        <w:t>avoidable</w:t>
      </w:r>
      <w:proofErr w:type="spellEnd"/>
      <w:r w:rsidR="00080548" w:rsidRPr="00D85E63">
        <w:rPr>
          <w:rFonts w:ascii="Arial" w:hAnsi="Arial" w:cs="Arial"/>
        </w:rPr>
        <w:t xml:space="preserve"> </w:t>
      </w:r>
      <w:proofErr w:type="spellStart"/>
      <w:r w:rsidR="00080548" w:rsidRPr="00D85E63">
        <w:rPr>
          <w:rFonts w:ascii="Arial" w:hAnsi="Arial" w:cs="Arial"/>
        </w:rPr>
        <w:t>mortality</w:t>
      </w:r>
      <w:proofErr w:type="spellEnd"/>
      <w:r w:rsidR="00080548" w:rsidRPr="00D85E63">
        <w:rPr>
          <w:rFonts w:ascii="Arial" w:hAnsi="Arial" w:cs="Arial"/>
        </w:rPr>
        <w:t>“) basierend auf der gleichen Berechnungsmethode (OECD-</w:t>
      </w:r>
      <w:proofErr w:type="spellStart"/>
      <w:r w:rsidR="00080548" w:rsidRPr="00D85E63">
        <w:rPr>
          <w:rFonts w:ascii="Arial" w:hAnsi="Arial" w:cs="Arial"/>
        </w:rPr>
        <w:t>Eurostat</w:t>
      </w:r>
      <w:proofErr w:type="spellEnd"/>
      <w:r w:rsidR="00080548" w:rsidRPr="00D85E63">
        <w:rPr>
          <w:rFonts w:ascii="Arial" w:hAnsi="Arial" w:cs="Arial"/>
        </w:rPr>
        <w:t xml:space="preserve">-Liste vermeidbarer </w:t>
      </w:r>
      <w:r w:rsidR="00080548" w:rsidRPr="00D85E63">
        <w:rPr>
          <w:rFonts w:ascii="Arial" w:hAnsi="Arial" w:cs="Arial"/>
        </w:rPr>
        <w:lastRenderedPageBreak/>
        <w:t xml:space="preserve">Todesursachen) </w:t>
      </w:r>
      <w:r w:rsidR="004C0702" w:rsidRPr="00D85E63">
        <w:rPr>
          <w:rFonts w:ascii="Arial" w:hAnsi="Arial" w:cs="Arial"/>
        </w:rPr>
        <w:t>vor</w:t>
      </w:r>
      <w:r w:rsidR="00080548" w:rsidRPr="00D85E63">
        <w:rPr>
          <w:rFonts w:ascii="Arial" w:hAnsi="Arial" w:cs="Arial"/>
        </w:rPr>
        <w:t>gehalten</w:t>
      </w:r>
      <w:r w:rsidR="004C0702" w:rsidRPr="00D85E63">
        <w:rPr>
          <w:rFonts w:ascii="Arial" w:hAnsi="Arial" w:cs="Arial"/>
        </w:rPr>
        <w:t xml:space="preserve">. </w:t>
      </w:r>
      <w:r w:rsidR="00080548" w:rsidRPr="00D85E63">
        <w:rPr>
          <w:rFonts w:ascii="Arial" w:hAnsi="Arial" w:cs="Arial"/>
        </w:rPr>
        <w:t xml:space="preserve">Bei Vergleichen muss allerdings berücksichtigt werden, dass die </w:t>
      </w:r>
      <w:r w:rsidR="000377A6" w:rsidRPr="00D85E63">
        <w:rPr>
          <w:rFonts w:ascii="Arial" w:hAnsi="Arial" w:cs="Arial"/>
        </w:rPr>
        <w:t xml:space="preserve">zur Berechnung </w:t>
      </w:r>
      <w:r w:rsidR="00080548" w:rsidRPr="00D85E63">
        <w:rPr>
          <w:rFonts w:ascii="Arial" w:hAnsi="Arial" w:cs="Arial"/>
        </w:rPr>
        <w:t xml:space="preserve">verwendeten Daten der WHO </w:t>
      </w:r>
      <w:proofErr w:type="spellStart"/>
      <w:r w:rsidR="00080548" w:rsidRPr="00D85E63">
        <w:rPr>
          <w:rFonts w:ascii="Arial" w:hAnsi="Arial" w:cs="Arial"/>
        </w:rPr>
        <w:t>Mortality</w:t>
      </w:r>
      <w:proofErr w:type="spellEnd"/>
      <w:r w:rsidR="00080548" w:rsidRPr="00D85E63">
        <w:rPr>
          <w:rFonts w:ascii="Arial" w:hAnsi="Arial" w:cs="Arial"/>
        </w:rPr>
        <w:t xml:space="preserve"> Database entnommen werden</w:t>
      </w:r>
      <w:r w:rsidR="00D33494" w:rsidRPr="00D85E63">
        <w:rPr>
          <w:rFonts w:ascii="Arial" w:hAnsi="Arial" w:cs="Arial"/>
        </w:rPr>
        <w:t>, dass die zur</w:t>
      </w:r>
      <w:r w:rsidR="00293BFE" w:rsidRPr="00D85E63">
        <w:rPr>
          <w:rFonts w:ascii="Arial" w:hAnsi="Arial" w:cs="Arial"/>
        </w:rPr>
        <w:t xml:space="preserve"> </w:t>
      </w:r>
      <w:r w:rsidR="00D33494" w:rsidRPr="00D85E63">
        <w:rPr>
          <w:rFonts w:ascii="Arial" w:hAnsi="Arial" w:cs="Arial"/>
        </w:rPr>
        <w:t>Berechnung verwendeten Daten unterschiedlichen Quellen entnommen werden (</w:t>
      </w:r>
      <w:proofErr w:type="spellStart"/>
      <w:r w:rsidR="00D33494" w:rsidRPr="00D85E63">
        <w:rPr>
          <w:rFonts w:ascii="Arial" w:hAnsi="Arial" w:cs="Arial"/>
        </w:rPr>
        <w:t>Eurostat</w:t>
      </w:r>
      <w:proofErr w:type="spellEnd"/>
      <w:r w:rsidR="00D33494" w:rsidRPr="00D85E63">
        <w:rPr>
          <w:rFonts w:ascii="Arial" w:hAnsi="Arial" w:cs="Arial"/>
        </w:rPr>
        <w:t xml:space="preserve">: Datensammlung zur Mortalität in den Mitgliedsstaaten bzw. OECD: WHO </w:t>
      </w:r>
      <w:proofErr w:type="spellStart"/>
      <w:r w:rsidR="00D33494" w:rsidRPr="00D85E63">
        <w:rPr>
          <w:rFonts w:ascii="Arial" w:hAnsi="Arial" w:cs="Arial"/>
        </w:rPr>
        <w:t>Mortality</w:t>
      </w:r>
      <w:proofErr w:type="spellEnd"/>
      <w:r w:rsidR="00D33494" w:rsidRPr="00D85E63">
        <w:rPr>
          <w:rFonts w:ascii="Arial" w:hAnsi="Arial" w:cs="Arial"/>
        </w:rPr>
        <w:t xml:space="preserve"> Database)</w:t>
      </w:r>
      <w:r w:rsidR="00080548" w:rsidRPr="00D85E63">
        <w:rPr>
          <w:rFonts w:ascii="Arial" w:hAnsi="Arial" w:cs="Arial"/>
        </w:rPr>
        <w:t xml:space="preserve"> und</w:t>
      </w:r>
      <w:r w:rsidR="00D33494" w:rsidRPr="00D85E63">
        <w:rPr>
          <w:rFonts w:ascii="Arial" w:hAnsi="Arial" w:cs="Arial"/>
        </w:rPr>
        <w:t xml:space="preserve"> mittels unterschie</w:t>
      </w:r>
      <w:r w:rsidR="00293BFE" w:rsidRPr="00D85E63">
        <w:rPr>
          <w:rFonts w:ascii="Arial" w:hAnsi="Arial" w:cs="Arial"/>
        </w:rPr>
        <w:t>d</w:t>
      </w:r>
      <w:r w:rsidR="00D33494" w:rsidRPr="00D85E63">
        <w:rPr>
          <w:rFonts w:ascii="Arial" w:hAnsi="Arial" w:cs="Arial"/>
        </w:rPr>
        <w:t>licher Standardpopulationen</w:t>
      </w:r>
      <w:r w:rsidR="00080548" w:rsidRPr="00D85E63">
        <w:rPr>
          <w:rFonts w:ascii="Arial" w:hAnsi="Arial" w:cs="Arial"/>
        </w:rPr>
        <w:t xml:space="preserve"> </w:t>
      </w:r>
      <w:r w:rsidR="00D33494" w:rsidRPr="00D85E63">
        <w:rPr>
          <w:rFonts w:ascii="Arial" w:hAnsi="Arial" w:cs="Arial"/>
        </w:rPr>
        <w:t>direkt a</w:t>
      </w:r>
      <w:r w:rsidR="00080548" w:rsidRPr="00D85E63">
        <w:rPr>
          <w:rFonts w:ascii="Arial" w:hAnsi="Arial" w:cs="Arial"/>
        </w:rPr>
        <w:t>ltersstandardisier</w:t>
      </w:r>
      <w:r w:rsidR="00D33494" w:rsidRPr="00D85E63">
        <w:rPr>
          <w:rFonts w:ascii="Arial" w:hAnsi="Arial" w:cs="Arial"/>
        </w:rPr>
        <w:t>t werden (</w:t>
      </w:r>
      <w:proofErr w:type="spellStart"/>
      <w:r w:rsidR="00D33494" w:rsidRPr="00D85E63">
        <w:rPr>
          <w:rFonts w:ascii="Arial" w:hAnsi="Arial" w:cs="Arial"/>
        </w:rPr>
        <w:t>Eurostat</w:t>
      </w:r>
      <w:proofErr w:type="spellEnd"/>
      <w:r w:rsidR="00D33494" w:rsidRPr="00D85E63">
        <w:rPr>
          <w:rFonts w:ascii="Arial" w:hAnsi="Arial" w:cs="Arial"/>
        </w:rPr>
        <w:t>: revidierte Europäische Standardbevölkerung (Revision 2013)</w:t>
      </w:r>
      <w:r w:rsidR="00293BFE" w:rsidRPr="00D85E63">
        <w:rPr>
          <w:rFonts w:ascii="Arial" w:hAnsi="Arial" w:cs="Arial"/>
        </w:rPr>
        <w:t xml:space="preserve"> bzw.</w:t>
      </w:r>
      <w:r w:rsidR="00080548" w:rsidRPr="00D85E63">
        <w:rPr>
          <w:rFonts w:ascii="Arial" w:hAnsi="Arial" w:cs="Arial"/>
        </w:rPr>
        <w:t xml:space="preserve"> OECD</w:t>
      </w:r>
      <w:r w:rsidR="00293BFE" w:rsidRPr="00D85E63">
        <w:rPr>
          <w:rFonts w:ascii="Arial" w:hAnsi="Arial" w:cs="Arial"/>
        </w:rPr>
        <w:t>:</w:t>
      </w:r>
      <w:r w:rsidR="00080548" w:rsidRPr="00D85E63">
        <w:rPr>
          <w:rFonts w:ascii="Arial" w:hAnsi="Arial" w:cs="Arial"/>
        </w:rPr>
        <w:t xml:space="preserve"> </w:t>
      </w:r>
      <w:r w:rsidR="00293BFE" w:rsidRPr="00D85E63">
        <w:rPr>
          <w:rFonts w:ascii="Arial" w:hAnsi="Arial" w:cs="Arial"/>
        </w:rPr>
        <w:t>2010 OECD</w:t>
      </w:r>
      <w:r w:rsidR="007D642E">
        <w:rPr>
          <w:rFonts w:ascii="Arial" w:hAnsi="Arial" w:cs="Arial"/>
        </w:rPr>
        <w:t xml:space="preserve"> </w:t>
      </w:r>
      <w:r w:rsidR="00293BFE" w:rsidRPr="00D85E63">
        <w:rPr>
          <w:rFonts w:ascii="Arial" w:hAnsi="Arial" w:cs="Arial"/>
        </w:rPr>
        <w:t>Standardbevölkerung)</w:t>
      </w:r>
      <w:r w:rsidR="00080548" w:rsidRPr="00D85E63">
        <w:rPr>
          <w:rFonts w:ascii="Arial" w:hAnsi="Arial" w:cs="Arial"/>
        </w:rPr>
        <w:t xml:space="preserve"> </w:t>
      </w:r>
      <w:r w:rsidR="00293BFE" w:rsidRPr="00D85E63">
        <w:rPr>
          <w:rFonts w:ascii="Arial" w:hAnsi="Arial" w:cs="Arial"/>
        </w:rPr>
        <w:t>.</w:t>
      </w:r>
    </w:p>
    <w:p w14:paraId="5E97E006" w14:textId="77777777" w:rsidR="00642CA0" w:rsidRPr="00D85E63" w:rsidRDefault="00642CA0" w:rsidP="00D415D1">
      <w:pPr>
        <w:jc w:val="both"/>
        <w:rPr>
          <w:rFonts w:ascii="Arial" w:hAnsi="Arial" w:cs="Arial"/>
        </w:rPr>
      </w:pPr>
    </w:p>
    <w:p w14:paraId="21FA2CBB" w14:textId="77777777" w:rsidR="004C0702" w:rsidRPr="00521B3F" w:rsidRDefault="004C0702">
      <w:pPr>
        <w:pStyle w:val="berschrift2"/>
        <w:rPr>
          <w:rFonts w:ascii="Arial" w:hAnsi="Arial" w:cs="Arial"/>
        </w:rPr>
      </w:pPr>
      <w:r w:rsidRPr="00521B3F">
        <w:rPr>
          <w:rFonts w:ascii="Arial" w:hAnsi="Arial" w:cs="Arial"/>
        </w:rPr>
        <w:t>Originalquellen</w:t>
      </w:r>
    </w:p>
    <w:p w14:paraId="1592BC9B" w14:textId="77777777" w:rsidR="004C0702" w:rsidRPr="00521B3F" w:rsidRDefault="00277D34">
      <w:pPr>
        <w:jc w:val="both"/>
        <w:rPr>
          <w:rFonts w:ascii="Arial" w:hAnsi="Arial" w:cs="Arial"/>
        </w:rPr>
      </w:pPr>
      <w:r w:rsidRPr="00521B3F">
        <w:rPr>
          <w:rFonts w:ascii="Arial" w:hAnsi="Arial" w:cs="Arial"/>
        </w:rPr>
        <w:t>Daten</w:t>
      </w:r>
      <w:r w:rsidR="004C0702" w:rsidRPr="00521B3F">
        <w:rPr>
          <w:rFonts w:ascii="Arial" w:hAnsi="Arial" w:cs="Arial"/>
        </w:rPr>
        <w:t xml:space="preserve"> der Statistischen Landesämter </w:t>
      </w:r>
    </w:p>
    <w:p w14:paraId="395A4267" w14:textId="77777777" w:rsidR="004C0702" w:rsidRPr="00521B3F" w:rsidRDefault="004C0702">
      <w:pPr>
        <w:jc w:val="both"/>
        <w:rPr>
          <w:rFonts w:ascii="Arial" w:hAnsi="Arial" w:cs="Arial"/>
        </w:rPr>
      </w:pPr>
    </w:p>
    <w:p w14:paraId="56B236D1" w14:textId="08571160" w:rsidR="004C0702" w:rsidRPr="00521B3F" w:rsidRDefault="000377A6">
      <w:pPr>
        <w:jc w:val="both"/>
        <w:rPr>
          <w:rFonts w:ascii="Arial" w:hAnsi="Arial" w:cs="Arial"/>
          <w:b/>
        </w:rPr>
      </w:pPr>
      <w:r w:rsidRPr="00521B3F">
        <w:rPr>
          <w:rFonts w:ascii="Arial" w:hAnsi="Arial" w:cs="Arial"/>
          <w:b/>
        </w:rPr>
        <w:t>Literatur</w:t>
      </w:r>
    </w:p>
    <w:p w14:paraId="35B1BE4F" w14:textId="7F232A70" w:rsidR="00521B3F" w:rsidRPr="00642CA0" w:rsidRDefault="00815107" w:rsidP="00521B3F">
      <w:pPr>
        <w:pStyle w:val="Listenabsatz"/>
        <w:numPr>
          <w:ilvl w:val="0"/>
          <w:numId w:val="6"/>
        </w:numPr>
        <w:jc w:val="both"/>
        <w:rPr>
          <w:rFonts w:ascii="Arial" w:hAnsi="Arial" w:cs="Arial"/>
        </w:rPr>
      </w:pPr>
      <w:hyperlink r:id="rId7" w:history="1">
        <w:r w:rsidR="00521B3F" w:rsidRPr="00642CA0">
          <w:rPr>
            <w:rStyle w:val="Hyperlink"/>
            <w:rFonts w:ascii="Arial" w:hAnsi="Arial" w:cs="Arial"/>
            <w:color w:val="auto"/>
          </w:rPr>
          <w:t>LGL (2022) GBE-Methodenbrief 2. Indikator vermeidbare Sterblichkeit. Hinweise zur Berechnung auf Landes- sowie Regierungsbezirksebene in Bayern anhand der OECD-</w:t>
        </w:r>
        <w:proofErr w:type="spellStart"/>
        <w:r w:rsidR="00521B3F" w:rsidRPr="00642CA0">
          <w:rPr>
            <w:rStyle w:val="Hyperlink"/>
            <w:rFonts w:ascii="Arial" w:hAnsi="Arial" w:cs="Arial"/>
            <w:color w:val="auto"/>
          </w:rPr>
          <w:t>Eurostat</w:t>
        </w:r>
        <w:proofErr w:type="spellEnd"/>
        <w:r w:rsidR="00521B3F" w:rsidRPr="00642CA0">
          <w:rPr>
            <w:rStyle w:val="Hyperlink"/>
            <w:rFonts w:ascii="Arial" w:hAnsi="Arial" w:cs="Arial"/>
            <w:color w:val="auto"/>
          </w:rPr>
          <w:t>-Liste. Stand April 2022.</w:t>
        </w:r>
      </w:hyperlink>
    </w:p>
    <w:p w14:paraId="1E9E88B9" w14:textId="4C3AA0AE" w:rsidR="000377A6" w:rsidRPr="00642CA0" w:rsidRDefault="00B24382" w:rsidP="000377A6">
      <w:pPr>
        <w:pStyle w:val="Listenabsatz"/>
        <w:numPr>
          <w:ilvl w:val="0"/>
          <w:numId w:val="6"/>
        </w:numPr>
        <w:jc w:val="both"/>
        <w:rPr>
          <w:rFonts w:ascii="Arial" w:hAnsi="Arial" w:cs="Arial"/>
          <w:lang w:val="en-GB"/>
        </w:rPr>
      </w:pPr>
      <w:r>
        <w:rPr>
          <w:rFonts w:ascii="Arial" w:hAnsi="Arial" w:cs="Arial"/>
          <w:lang w:val="en-GB"/>
        </w:rPr>
        <w:t>OECD (2022</w:t>
      </w:r>
      <w:r w:rsidR="000377A6" w:rsidRPr="00642CA0">
        <w:rPr>
          <w:rFonts w:ascii="Arial" w:hAnsi="Arial" w:cs="Arial"/>
          <w:lang w:val="en-GB"/>
        </w:rPr>
        <w:t>) Avoidable mortality: OECD/Eurostat lists of preventable and treatable causes of death (</w:t>
      </w:r>
      <w:r w:rsidR="00642CA0" w:rsidRPr="00642CA0">
        <w:rPr>
          <w:rFonts w:ascii="Arial" w:hAnsi="Arial" w:cs="Arial"/>
          <w:lang w:val="en-GB"/>
        </w:rPr>
        <w:t>Januar</w:t>
      </w:r>
      <w:r w:rsidR="00293BFE">
        <w:rPr>
          <w:rFonts w:ascii="Arial" w:hAnsi="Arial" w:cs="Arial"/>
          <w:lang w:val="en-GB"/>
        </w:rPr>
        <w:t>y</w:t>
      </w:r>
      <w:r w:rsidR="00642CA0" w:rsidRPr="00642CA0">
        <w:rPr>
          <w:rFonts w:ascii="Arial" w:hAnsi="Arial" w:cs="Arial"/>
          <w:lang w:val="en-GB"/>
        </w:rPr>
        <w:t xml:space="preserve"> 2022</w:t>
      </w:r>
      <w:r w:rsidR="000377A6" w:rsidRPr="00642CA0">
        <w:rPr>
          <w:rFonts w:ascii="Arial" w:hAnsi="Arial" w:cs="Arial"/>
          <w:lang w:val="en-GB"/>
        </w:rPr>
        <w:t xml:space="preserve"> version).</w:t>
      </w:r>
    </w:p>
    <w:p w14:paraId="7999A134" w14:textId="0A24A938" w:rsidR="000377A6" w:rsidRPr="00642CA0" w:rsidRDefault="000377A6" w:rsidP="000377A6">
      <w:pPr>
        <w:pStyle w:val="Listenabsatz"/>
        <w:numPr>
          <w:ilvl w:val="0"/>
          <w:numId w:val="6"/>
        </w:numPr>
        <w:jc w:val="both"/>
        <w:rPr>
          <w:rFonts w:ascii="Arial" w:hAnsi="Arial" w:cs="Arial"/>
        </w:rPr>
      </w:pPr>
      <w:r w:rsidRPr="00642CA0">
        <w:rPr>
          <w:rFonts w:ascii="Arial" w:hAnsi="Arial" w:cs="Arial"/>
        </w:rPr>
        <w:t xml:space="preserve">Weber A et al. (2022) Vermeidbare Sterblichkeit – Neufassung eines Indikators für die Präventionsberichterstattung. Bundesgesundheitsblatt – Gesundheitsforschung – Gesundheitsschutz, 65:116–125. </w:t>
      </w:r>
      <w:hyperlink w:history="1">
        <w:r w:rsidR="00BD14E0" w:rsidRPr="00642CA0">
          <w:rPr>
            <w:rStyle w:val="Hyperlink"/>
            <w:rFonts w:ascii="Arial" w:hAnsi="Arial" w:cs="Arial"/>
            <w:color w:val="auto"/>
          </w:rPr>
          <w:t>https://doi.org/10.1007/s00103-021-03458-y</w:t>
        </w:r>
      </w:hyperlink>
    </w:p>
    <w:p w14:paraId="5FCB25B1" w14:textId="3BEB8CC0" w:rsidR="00BD14E0" w:rsidRPr="00521B3F" w:rsidRDefault="00BD14E0" w:rsidP="00BD14E0">
      <w:pPr>
        <w:jc w:val="both"/>
        <w:rPr>
          <w:rFonts w:ascii="Arial" w:hAnsi="Arial" w:cs="Arial"/>
        </w:rPr>
      </w:pPr>
    </w:p>
    <w:p w14:paraId="56837C56" w14:textId="0D45E03D" w:rsidR="00BD14E0" w:rsidRPr="00521B3F" w:rsidRDefault="00BD14E0" w:rsidP="00BD14E0">
      <w:pPr>
        <w:jc w:val="both"/>
        <w:rPr>
          <w:rFonts w:ascii="Arial" w:hAnsi="Arial" w:cs="Arial"/>
        </w:rPr>
      </w:pPr>
    </w:p>
    <w:p w14:paraId="51BCBF94" w14:textId="77777777" w:rsidR="00BD14E0" w:rsidRPr="00521B3F" w:rsidRDefault="00BD14E0" w:rsidP="00BD14E0">
      <w:pPr>
        <w:pStyle w:val="berschrift2"/>
        <w:rPr>
          <w:rFonts w:ascii="Arial" w:hAnsi="Arial" w:cs="Arial"/>
        </w:rPr>
      </w:pPr>
      <w:r w:rsidRPr="00521B3F">
        <w:rPr>
          <w:rFonts w:ascii="Arial" w:hAnsi="Arial" w:cs="Arial"/>
        </w:rPr>
        <w:t>Stand</w:t>
      </w:r>
    </w:p>
    <w:p w14:paraId="510E5FAA" w14:textId="56416CA5" w:rsidR="00BD14E0" w:rsidRPr="00521B3F" w:rsidRDefault="00D85E63" w:rsidP="00BD14E0">
      <w:pPr>
        <w:jc w:val="both"/>
        <w:rPr>
          <w:rFonts w:ascii="Arial" w:hAnsi="Arial" w:cs="Arial"/>
        </w:rPr>
      </w:pPr>
      <w:r>
        <w:rPr>
          <w:rFonts w:ascii="Arial" w:hAnsi="Arial" w:cs="Arial"/>
        </w:rPr>
        <w:t>Oktober</w:t>
      </w:r>
      <w:r w:rsidR="00BD14E0" w:rsidRPr="00521B3F">
        <w:rPr>
          <w:rFonts w:ascii="Arial" w:hAnsi="Arial" w:cs="Arial"/>
        </w:rPr>
        <w:t xml:space="preserve"> 2022 </w:t>
      </w:r>
    </w:p>
    <w:p w14:paraId="4CB83457" w14:textId="77777777" w:rsidR="00BD14E0" w:rsidRPr="00521B3F" w:rsidRDefault="00BD14E0" w:rsidP="00BD14E0">
      <w:pPr>
        <w:jc w:val="both"/>
        <w:rPr>
          <w:rFonts w:ascii="Arial" w:hAnsi="Arial" w:cs="Arial"/>
        </w:rPr>
      </w:pPr>
    </w:p>
    <w:sectPr w:rsidR="00BD14E0" w:rsidRPr="00521B3F">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44ACC" w14:textId="77777777" w:rsidR="00CC7B81" w:rsidRDefault="001E6246">
      <w:r>
        <w:separator/>
      </w:r>
    </w:p>
  </w:endnote>
  <w:endnote w:type="continuationSeparator" w:id="0">
    <w:p w14:paraId="0C6530D0" w14:textId="77777777" w:rsidR="00CC7B81" w:rsidRDefault="001E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DEC9E" w14:textId="77777777" w:rsidR="001E6246" w:rsidRDefault="001E624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DF2F3" w14:textId="77777777" w:rsidR="001E6246" w:rsidRDefault="001E624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0597F" w14:textId="77777777" w:rsidR="001E6246" w:rsidRDefault="001E624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B0E62" w14:textId="77777777" w:rsidR="00CC7B81" w:rsidRDefault="001E6246">
      <w:r>
        <w:separator/>
      </w:r>
    </w:p>
  </w:footnote>
  <w:footnote w:type="continuationSeparator" w:id="0">
    <w:p w14:paraId="06BF8EFE" w14:textId="77777777" w:rsidR="00CC7B81" w:rsidRDefault="001E6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59FD6" w14:textId="77777777" w:rsidR="001E6246" w:rsidRDefault="001E624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2EFF9" w14:textId="77777777" w:rsidR="001E6246" w:rsidRDefault="001E624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3AA83" w14:textId="77777777" w:rsidR="001E6246" w:rsidRDefault="001E624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55577"/>
    <w:multiLevelType w:val="singleLevel"/>
    <w:tmpl w:val="3860035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F564EDA"/>
    <w:multiLevelType w:val="hybridMultilevel"/>
    <w:tmpl w:val="96828144"/>
    <w:lvl w:ilvl="0" w:tplc="E5B4E7F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B852535"/>
    <w:multiLevelType w:val="singleLevel"/>
    <w:tmpl w:val="22A44E8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515D11"/>
    <w:multiLevelType w:val="singleLevel"/>
    <w:tmpl w:val="3860035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AB25D2C"/>
    <w:multiLevelType w:val="singleLevel"/>
    <w:tmpl w:val="22A44E8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B344BBB"/>
    <w:multiLevelType w:val="singleLevel"/>
    <w:tmpl w:val="3860035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966"/>
    <w:rsid w:val="000377A6"/>
    <w:rsid w:val="00080548"/>
    <w:rsid w:val="000E1ED1"/>
    <w:rsid w:val="000F4AAC"/>
    <w:rsid w:val="00170882"/>
    <w:rsid w:val="001C0A55"/>
    <w:rsid w:val="001E6246"/>
    <w:rsid w:val="00231050"/>
    <w:rsid w:val="00277D34"/>
    <w:rsid w:val="00293BFE"/>
    <w:rsid w:val="002B3C3E"/>
    <w:rsid w:val="002E5E53"/>
    <w:rsid w:val="003512F8"/>
    <w:rsid w:val="00441966"/>
    <w:rsid w:val="00450B7F"/>
    <w:rsid w:val="004C0702"/>
    <w:rsid w:val="005025C6"/>
    <w:rsid w:val="00521B3F"/>
    <w:rsid w:val="00642CA0"/>
    <w:rsid w:val="006D08E8"/>
    <w:rsid w:val="00784DAF"/>
    <w:rsid w:val="007D642E"/>
    <w:rsid w:val="00815107"/>
    <w:rsid w:val="00882AE4"/>
    <w:rsid w:val="00A74588"/>
    <w:rsid w:val="00B24382"/>
    <w:rsid w:val="00B85F70"/>
    <w:rsid w:val="00BD14E0"/>
    <w:rsid w:val="00C07874"/>
    <w:rsid w:val="00C248ED"/>
    <w:rsid w:val="00CC7B81"/>
    <w:rsid w:val="00D33494"/>
    <w:rsid w:val="00D415D1"/>
    <w:rsid w:val="00D85E63"/>
    <w:rsid w:val="00DC72A7"/>
    <w:rsid w:val="00E4236E"/>
    <w:rsid w:val="00E85EDD"/>
    <w:rsid w:val="00F87B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49D7D35"/>
  <w15:chartTrackingRefBased/>
  <w15:docId w15:val="{A9714060-5884-41F1-8440-CE4C2BB7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jc w:val="both"/>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rPr>
  </w:style>
  <w:style w:type="paragraph" w:styleId="Textkrper2">
    <w:name w:val="Body Text 2"/>
    <w:basedOn w:val="Standard"/>
    <w:pPr>
      <w:jc w:val="both"/>
    </w:pPr>
  </w:style>
  <w:style w:type="paragraph" w:styleId="Textkrper3">
    <w:name w:val="Body Text 3"/>
    <w:basedOn w:val="Standard"/>
    <w:pPr>
      <w:jc w:val="both"/>
    </w:pPr>
    <w:rPr>
      <w:color w:val="000000"/>
    </w:rPr>
  </w:style>
  <w:style w:type="paragraph" w:customStyle="1" w:styleId="flietext">
    <w:name w:val="fließtext"/>
    <w:basedOn w:val="Standard"/>
    <w:pPr>
      <w:spacing w:after="60" w:line="240" w:lineRule="exact"/>
      <w:jc w:val="both"/>
    </w:pPr>
    <w:rPr>
      <w:rFonts w:ascii="Arial" w:hAnsi="Arial"/>
      <w:sz w:val="2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441966"/>
    <w:rPr>
      <w:rFonts w:ascii="Tahoma" w:hAnsi="Tahoma" w:cs="Tahoma"/>
      <w:sz w:val="16"/>
      <w:szCs w:val="16"/>
    </w:rPr>
  </w:style>
  <w:style w:type="character" w:styleId="Kommentarzeichen">
    <w:name w:val="annotation reference"/>
    <w:basedOn w:val="Absatz-Standardschriftart"/>
    <w:uiPriority w:val="99"/>
    <w:semiHidden/>
    <w:unhideWhenUsed/>
    <w:rsid w:val="00DC72A7"/>
    <w:rPr>
      <w:sz w:val="16"/>
      <w:szCs w:val="16"/>
    </w:rPr>
  </w:style>
  <w:style w:type="paragraph" w:styleId="Kommentartext">
    <w:name w:val="annotation text"/>
    <w:basedOn w:val="Standard"/>
    <w:link w:val="KommentartextZchn"/>
    <w:uiPriority w:val="99"/>
    <w:semiHidden/>
    <w:unhideWhenUsed/>
    <w:rsid w:val="00DC72A7"/>
  </w:style>
  <w:style w:type="character" w:customStyle="1" w:styleId="KommentartextZchn">
    <w:name w:val="Kommentartext Zchn"/>
    <w:basedOn w:val="Absatz-Standardschriftart"/>
    <w:link w:val="Kommentartext"/>
    <w:uiPriority w:val="99"/>
    <w:semiHidden/>
    <w:rsid w:val="00DC72A7"/>
  </w:style>
  <w:style w:type="paragraph" w:styleId="Kommentarthema">
    <w:name w:val="annotation subject"/>
    <w:basedOn w:val="Kommentartext"/>
    <w:next w:val="Kommentartext"/>
    <w:link w:val="KommentarthemaZchn"/>
    <w:uiPriority w:val="99"/>
    <w:semiHidden/>
    <w:unhideWhenUsed/>
    <w:rsid w:val="00DC72A7"/>
    <w:rPr>
      <w:b/>
      <w:bCs/>
    </w:rPr>
  </w:style>
  <w:style w:type="character" w:customStyle="1" w:styleId="KommentarthemaZchn">
    <w:name w:val="Kommentarthema Zchn"/>
    <w:basedOn w:val="KommentartextZchn"/>
    <w:link w:val="Kommentarthema"/>
    <w:uiPriority w:val="99"/>
    <w:semiHidden/>
    <w:rsid w:val="00DC72A7"/>
    <w:rPr>
      <w:b/>
      <w:bCs/>
    </w:rPr>
  </w:style>
  <w:style w:type="character" w:styleId="Hyperlink">
    <w:name w:val="Hyperlink"/>
    <w:basedOn w:val="Absatz-Standardschriftart"/>
    <w:uiPriority w:val="99"/>
    <w:unhideWhenUsed/>
    <w:rsid w:val="00D415D1"/>
    <w:rPr>
      <w:color w:val="0563C1" w:themeColor="hyperlink"/>
      <w:u w:val="single"/>
    </w:rPr>
  </w:style>
  <w:style w:type="paragraph" w:styleId="Listenabsatz">
    <w:name w:val="List Paragraph"/>
    <w:basedOn w:val="Standard"/>
    <w:uiPriority w:val="34"/>
    <w:qFormat/>
    <w:rsid w:val="000377A6"/>
    <w:pPr>
      <w:ind w:left="720"/>
      <w:contextualSpacing/>
    </w:pPr>
  </w:style>
  <w:style w:type="character" w:styleId="BesuchterLink">
    <w:name w:val="FollowedHyperlink"/>
    <w:basedOn w:val="Absatz-Standardschriftart"/>
    <w:uiPriority w:val="99"/>
    <w:semiHidden/>
    <w:unhideWhenUsed/>
    <w:rsid w:val="00642C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gl.bayern.de/downloads/gesundheit/gesundheitsberichterstattung/doc/gbe_methodenbrief2_indikator_vermeidbare_sterblichkeit.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4580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zu Indikator 5</vt:lpstr>
    </vt:vector>
  </TitlesOfParts>
  <Company>loegd</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 Indikator 5</dc:title>
  <dc:subject/>
  <dc:creator>breckenk</dc:creator>
  <cp:keywords/>
  <cp:lastModifiedBy>Zollikofer, Sylvia (LGL)</cp:lastModifiedBy>
  <cp:revision>3</cp:revision>
  <cp:lastPrinted>2005-11-28T13:29:00Z</cp:lastPrinted>
  <dcterms:created xsi:type="dcterms:W3CDTF">2022-11-02T13:54:00Z</dcterms:created>
  <dcterms:modified xsi:type="dcterms:W3CDTF">2022-11-02T17:01:00Z</dcterms:modified>
</cp:coreProperties>
</file>